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16F9" w:rsidRPr="00B651E9" w:rsidRDefault="00EE16F9" w:rsidP="00EE16F9">
      <w:pPr>
        <w:pStyle w:val="Title"/>
        <w:rPr>
          <w:sz w:val="40"/>
          <w:szCs w:val="40"/>
        </w:rPr>
      </w:pPr>
      <w:r w:rsidRPr="00B651E9">
        <w:rPr>
          <w:sz w:val="40"/>
          <w:szCs w:val="40"/>
        </w:rPr>
        <w:t>PUBLIC UTILITY COMMISSION OF TEXAS</w:t>
      </w:r>
    </w:p>
    <w:p w:rsidR="00EE16F9" w:rsidRPr="00D32C62" w:rsidRDefault="00EE16F9" w:rsidP="00EE16F9">
      <w:pPr>
        <w:spacing w:after="0" w:line="240" w:lineRule="auto"/>
        <w:jc w:val="center"/>
        <w:rPr>
          <w:rFonts w:ascii="Times New Roman" w:hAnsi="Times New Roman" w:cs="Times New Roman"/>
          <w:b/>
          <w:sz w:val="32"/>
        </w:rPr>
      </w:pPr>
      <w:r w:rsidRPr="00D32C62">
        <w:rPr>
          <w:rFonts w:ascii="Times New Roman" w:hAnsi="Times New Roman" w:cs="Times New Roman"/>
          <w:b/>
          <w:sz w:val="32"/>
        </w:rPr>
        <w:t>____________________________</w:t>
      </w:r>
    </w:p>
    <w:p w:rsidR="00EE16F9" w:rsidRPr="00B651E9" w:rsidRDefault="00EE16F9" w:rsidP="00EE16F9">
      <w:pPr>
        <w:spacing w:after="0" w:line="240" w:lineRule="auto"/>
        <w:jc w:val="center"/>
        <w:rPr>
          <w:rFonts w:ascii="Times New Roman" w:hAnsi="Times New Roman" w:cs="Times New Roman"/>
          <w:b/>
          <w:sz w:val="36"/>
          <w:szCs w:val="36"/>
        </w:rPr>
      </w:pPr>
      <w:r w:rsidRPr="00B651E9">
        <w:rPr>
          <w:rFonts w:ascii="Times New Roman" w:hAnsi="Times New Roman" w:cs="Times New Roman"/>
          <w:b/>
          <w:sz w:val="36"/>
          <w:szCs w:val="36"/>
        </w:rPr>
        <w:t>Memorandum</w:t>
      </w:r>
    </w:p>
    <w:p w:rsidR="00EE16F9" w:rsidRPr="002B0EC3" w:rsidRDefault="00EE16F9" w:rsidP="00EE16F9">
      <w:pPr>
        <w:spacing w:after="0" w:line="240" w:lineRule="auto"/>
        <w:rPr>
          <w:rFonts w:ascii="Times New Roman" w:hAnsi="Times New Roman" w:cs="Times New Roman"/>
          <w:sz w:val="16"/>
          <w:szCs w:val="16"/>
        </w:rPr>
      </w:pPr>
    </w:p>
    <w:p w:rsidR="00EE16F9" w:rsidRPr="00B651E9" w:rsidRDefault="00EE16F9" w:rsidP="00EE16F9">
      <w:pPr>
        <w:spacing w:after="0" w:line="240" w:lineRule="auto"/>
        <w:rPr>
          <w:rFonts w:ascii="Times New Roman" w:hAnsi="Times New Roman" w:cs="Times New Roman"/>
        </w:rPr>
      </w:pPr>
    </w:p>
    <w:p w:rsidR="00EE16F9" w:rsidRPr="00D43491" w:rsidRDefault="00EE16F9" w:rsidP="00EE16F9">
      <w:pPr>
        <w:spacing w:after="0" w:line="240" w:lineRule="auto"/>
        <w:rPr>
          <w:rFonts w:ascii="Times New Roman" w:hAnsi="Times New Roman" w:cs="Times New Roman"/>
          <w:sz w:val="24"/>
          <w:szCs w:val="24"/>
        </w:rPr>
      </w:pPr>
      <w:r w:rsidRPr="00D43491">
        <w:rPr>
          <w:rFonts w:ascii="Times New Roman" w:hAnsi="Times New Roman" w:cs="Times New Roman"/>
          <w:b/>
          <w:sz w:val="24"/>
          <w:szCs w:val="24"/>
        </w:rPr>
        <w:t>TO</w:t>
      </w:r>
      <w:r w:rsidRPr="00D43491">
        <w:rPr>
          <w:rFonts w:ascii="Times New Roman" w:hAnsi="Times New Roman" w:cs="Times New Roman"/>
          <w:sz w:val="24"/>
          <w:szCs w:val="24"/>
        </w:rPr>
        <w:t>:</w:t>
      </w:r>
      <w:r w:rsidRPr="00D43491">
        <w:rPr>
          <w:rFonts w:ascii="Times New Roman" w:hAnsi="Times New Roman" w:cs="Times New Roman"/>
          <w:sz w:val="24"/>
          <w:szCs w:val="24"/>
        </w:rPr>
        <w:tab/>
      </w:r>
      <w:r w:rsidRPr="00D43491">
        <w:rPr>
          <w:rFonts w:ascii="Times New Roman" w:hAnsi="Times New Roman" w:cs="Times New Roman"/>
          <w:sz w:val="24"/>
          <w:szCs w:val="24"/>
        </w:rPr>
        <w:tab/>
      </w:r>
      <w:r w:rsidR="00D05315">
        <w:rPr>
          <w:rFonts w:ascii="Times New Roman" w:hAnsi="Times New Roman" w:cs="Times New Roman"/>
          <w:sz w:val="24"/>
          <w:szCs w:val="24"/>
        </w:rPr>
        <w:t>Darryl Tietjen</w:t>
      </w:r>
    </w:p>
    <w:p w:rsidR="00D05315" w:rsidRDefault="00D05315" w:rsidP="00EE16F9">
      <w:pPr>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Division Director, Rate Regulation</w:t>
      </w:r>
    </w:p>
    <w:p w:rsidR="00EE16F9" w:rsidRPr="00D43491" w:rsidRDefault="00EE16F9" w:rsidP="00EE16F9">
      <w:pPr>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Number-running Liaison</w:t>
      </w:r>
    </w:p>
    <w:p w:rsidR="00EE16F9" w:rsidRPr="00D43491" w:rsidRDefault="00EE16F9" w:rsidP="00EE16F9">
      <w:pPr>
        <w:spacing w:after="0" w:line="240" w:lineRule="auto"/>
        <w:rPr>
          <w:rFonts w:ascii="Times New Roman" w:hAnsi="Times New Roman" w:cs="Times New Roman"/>
          <w:sz w:val="24"/>
          <w:szCs w:val="24"/>
          <w:highlight w:val="yellow"/>
        </w:rPr>
      </w:pPr>
    </w:p>
    <w:p w:rsidR="00EE16F9" w:rsidRPr="00D43491" w:rsidRDefault="00EE16F9" w:rsidP="00EE16F9">
      <w:pPr>
        <w:spacing w:after="0" w:line="240" w:lineRule="auto"/>
        <w:rPr>
          <w:rFonts w:ascii="Times New Roman" w:hAnsi="Times New Roman" w:cs="Times New Roman"/>
          <w:sz w:val="24"/>
          <w:szCs w:val="24"/>
        </w:rPr>
      </w:pPr>
      <w:r w:rsidRPr="00D43491">
        <w:rPr>
          <w:rFonts w:ascii="Times New Roman" w:hAnsi="Times New Roman" w:cs="Times New Roman"/>
          <w:b/>
          <w:sz w:val="24"/>
          <w:szCs w:val="24"/>
        </w:rPr>
        <w:t>FROM</w:t>
      </w:r>
      <w:r w:rsidRPr="00D43491">
        <w:rPr>
          <w:rFonts w:ascii="Times New Roman" w:hAnsi="Times New Roman" w:cs="Times New Roman"/>
          <w:sz w:val="24"/>
          <w:szCs w:val="24"/>
        </w:rPr>
        <w:t>:</w:t>
      </w:r>
      <w:r w:rsidRPr="00D43491">
        <w:rPr>
          <w:rFonts w:ascii="Times New Roman" w:hAnsi="Times New Roman" w:cs="Times New Roman"/>
          <w:sz w:val="24"/>
          <w:szCs w:val="24"/>
        </w:rPr>
        <w:tab/>
        <w:t xml:space="preserve">Brian Murphy </w:t>
      </w:r>
    </w:p>
    <w:p w:rsidR="00EE16F9" w:rsidRPr="00D43491" w:rsidRDefault="007922BD" w:rsidP="00EE16F9">
      <w:pPr>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Number-running Staff</w:t>
      </w:r>
    </w:p>
    <w:p w:rsidR="00EE16F9" w:rsidRPr="00D43491" w:rsidRDefault="00EE16F9" w:rsidP="00EE16F9">
      <w:pPr>
        <w:spacing w:after="0" w:line="240" w:lineRule="auto"/>
        <w:rPr>
          <w:rFonts w:ascii="Times New Roman" w:hAnsi="Times New Roman" w:cs="Times New Roman"/>
          <w:sz w:val="24"/>
          <w:szCs w:val="24"/>
          <w:highlight w:val="yellow"/>
        </w:rPr>
      </w:pPr>
    </w:p>
    <w:p w:rsidR="00EE16F9" w:rsidRPr="00D43491" w:rsidRDefault="00EE16F9" w:rsidP="00EE16F9">
      <w:pPr>
        <w:spacing w:after="0" w:line="240" w:lineRule="auto"/>
        <w:ind w:left="1440" w:hanging="1440"/>
        <w:jc w:val="both"/>
        <w:rPr>
          <w:rFonts w:ascii="Times New Roman" w:hAnsi="Times New Roman" w:cs="Times New Roman"/>
          <w:sz w:val="24"/>
          <w:szCs w:val="24"/>
        </w:rPr>
      </w:pPr>
      <w:r w:rsidRPr="00D43491">
        <w:rPr>
          <w:rFonts w:ascii="Times New Roman" w:hAnsi="Times New Roman" w:cs="Times New Roman"/>
          <w:b/>
          <w:sz w:val="24"/>
          <w:szCs w:val="24"/>
        </w:rPr>
        <w:t>DATE:</w:t>
      </w:r>
      <w:r w:rsidRPr="00D43491">
        <w:rPr>
          <w:rFonts w:ascii="Times New Roman" w:hAnsi="Times New Roman" w:cs="Times New Roman"/>
          <w:sz w:val="24"/>
          <w:szCs w:val="24"/>
        </w:rPr>
        <w:t xml:space="preserve">  </w:t>
      </w:r>
      <w:r w:rsidRPr="00D43491">
        <w:rPr>
          <w:rFonts w:ascii="Times New Roman" w:hAnsi="Times New Roman" w:cs="Times New Roman"/>
          <w:sz w:val="24"/>
          <w:szCs w:val="24"/>
        </w:rPr>
        <w:tab/>
      </w:r>
      <w:r w:rsidR="00D05315">
        <w:rPr>
          <w:rFonts w:ascii="Times New Roman" w:hAnsi="Times New Roman" w:cs="Times New Roman"/>
          <w:sz w:val="24"/>
          <w:szCs w:val="24"/>
        </w:rPr>
        <w:t>December 6</w:t>
      </w:r>
      <w:r>
        <w:rPr>
          <w:rFonts w:ascii="Times New Roman" w:hAnsi="Times New Roman" w:cs="Times New Roman"/>
          <w:sz w:val="24"/>
          <w:szCs w:val="24"/>
        </w:rPr>
        <w:t>, 2019</w:t>
      </w:r>
    </w:p>
    <w:p w:rsidR="00EE16F9" w:rsidRPr="00D43491" w:rsidRDefault="00EE16F9" w:rsidP="00EE16F9">
      <w:pPr>
        <w:spacing w:after="0" w:line="240" w:lineRule="auto"/>
        <w:ind w:left="1440" w:hanging="1440"/>
        <w:jc w:val="both"/>
        <w:rPr>
          <w:rFonts w:ascii="Times New Roman" w:hAnsi="Times New Roman" w:cs="Times New Roman"/>
          <w:sz w:val="24"/>
          <w:szCs w:val="24"/>
          <w:highlight w:val="yellow"/>
        </w:rPr>
      </w:pPr>
    </w:p>
    <w:p w:rsidR="00EE16F9" w:rsidRDefault="00EE16F9" w:rsidP="007922BD">
      <w:pPr>
        <w:pBdr>
          <w:bottom w:val="single" w:sz="6" w:space="1" w:color="auto"/>
        </w:pBdr>
        <w:spacing w:after="0"/>
        <w:ind w:left="1440" w:hanging="1440"/>
        <w:jc w:val="both"/>
        <w:rPr>
          <w:rFonts w:ascii="Times New Roman" w:hAnsi="Times New Roman" w:cs="Times New Roman"/>
          <w:i/>
          <w:sz w:val="24"/>
          <w:szCs w:val="24"/>
        </w:rPr>
      </w:pPr>
      <w:r w:rsidRPr="00D43491">
        <w:rPr>
          <w:rFonts w:ascii="Times New Roman" w:hAnsi="Times New Roman" w:cs="Times New Roman"/>
          <w:b/>
          <w:sz w:val="24"/>
          <w:szCs w:val="24"/>
        </w:rPr>
        <w:t>RE</w:t>
      </w:r>
      <w:r w:rsidRPr="00D43491">
        <w:rPr>
          <w:rFonts w:ascii="Times New Roman" w:hAnsi="Times New Roman" w:cs="Times New Roman"/>
          <w:sz w:val="24"/>
          <w:szCs w:val="24"/>
        </w:rPr>
        <w:t>:</w:t>
      </w:r>
      <w:r w:rsidRPr="00D43491">
        <w:rPr>
          <w:rFonts w:ascii="Times New Roman" w:hAnsi="Times New Roman" w:cs="Times New Roman"/>
          <w:sz w:val="24"/>
          <w:szCs w:val="24"/>
        </w:rPr>
        <w:tab/>
      </w:r>
      <w:r w:rsidRPr="00D43491">
        <w:rPr>
          <w:rFonts w:ascii="Times New Roman" w:hAnsi="Times New Roman" w:cs="Times New Roman"/>
          <w:b/>
          <w:bCs/>
          <w:sz w:val="24"/>
          <w:szCs w:val="24"/>
        </w:rPr>
        <w:t xml:space="preserve">Tariff Control No. </w:t>
      </w:r>
      <w:r w:rsidRPr="00D43491">
        <w:rPr>
          <w:rFonts w:ascii="Times New Roman" w:hAnsi="Times New Roman" w:cs="Times New Roman"/>
          <w:b/>
          <w:bCs/>
          <w:iCs/>
          <w:sz w:val="24"/>
          <w:szCs w:val="24"/>
        </w:rPr>
        <w:t>4</w:t>
      </w:r>
      <w:r>
        <w:rPr>
          <w:rFonts w:ascii="Times New Roman" w:hAnsi="Times New Roman" w:cs="Times New Roman"/>
          <w:b/>
          <w:bCs/>
          <w:iCs/>
          <w:sz w:val="24"/>
          <w:szCs w:val="24"/>
        </w:rPr>
        <w:t>9421</w:t>
      </w:r>
      <w:r w:rsidRPr="00D43491">
        <w:rPr>
          <w:rFonts w:ascii="Times New Roman" w:hAnsi="Times New Roman" w:cs="Times New Roman"/>
          <w:sz w:val="24"/>
          <w:szCs w:val="24"/>
        </w:rPr>
        <w:t>—</w:t>
      </w:r>
      <w:r w:rsidRPr="00372019">
        <w:rPr>
          <w:rFonts w:ascii="Times New Roman" w:hAnsi="Times New Roman" w:cs="Times New Roman"/>
          <w:i/>
          <w:sz w:val="24"/>
          <w:szCs w:val="24"/>
        </w:rPr>
        <w:t xml:space="preserve">Application of </w:t>
      </w:r>
      <w:r w:rsidR="007922BD">
        <w:rPr>
          <w:rFonts w:ascii="Times New Roman" w:hAnsi="Times New Roman" w:cs="Times New Roman"/>
          <w:i/>
          <w:sz w:val="24"/>
          <w:szCs w:val="24"/>
        </w:rPr>
        <w:t>CenterPoint Energy Houston Electric, LLC for Authority to Change Rates</w:t>
      </w:r>
    </w:p>
    <w:p w:rsidR="007922BD" w:rsidRPr="00892696" w:rsidRDefault="007922BD" w:rsidP="007922BD">
      <w:pPr>
        <w:pBdr>
          <w:bottom w:val="single" w:sz="6" w:space="1" w:color="auto"/>
        </w:pBdr>
        <w:spacing w:after="0"/>
        <w:ind w:left="1440" w:hanging="1440"/>
        <w:jc w:val="both"/>
        <w:rPr>
          <w:rFonts w:ascii="Times New Roman" w:hAnsi="Times New Roman" w:cs="Times New Roman"/>
          <w:i/>
          <w:iCs/>
        </w:rPr>
      </w:pPr>
    </w:p>
    <w:p w:rsidR="00CC7C3E" w:rsidRDefault="00CC7C3E" w:rsidP="00CC7C3E">
      <w:pPr>
        <w:spacing w:after="0" w:line="240" w:lineRule="auto"/>
        <w:jc w:val="both"/>
        <w:rPr>
          <w:rFonts w:ascii="Times New Roman" w:hAnsi="Times New Roman" w:cs="Times New Roman"/>
          <w:sz w:val="24"/>
          <w:szCs w:val="24"/>
        </w:rPr>
      </w:pPr>
    </w:p>
    <w:p w:rsidR="00407BC9" w:rsidRDefault="005F253E" w:rsidP="00CC7C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w:t>
      </w:r>
      <w:r w:rsidR="00D05315">
        <w:rPr>
          <w:rFonts w:ascii="Times New Roman" w:hAnsi="Times New Roman" w:cs="Times New Roman"/>
          <w:sz w:val="24"/>
          <w:szCs w:val="24"/>
        </w:rPr>
        <w:t>Commission</w:t>
      </w:r>
      <w:r w:rsidR="00407BC9">
        <w:rPr>
          <w:rFonts w:ascii="Times New Roman" w:hAnsi="Times New Roman" w:cs="Times New Roman"/>
          <w:sz w:val="24"/>
          <w:szCs w:val="24"/>
        </w:rPr>
        <w:t>-</w:t>
      </w:r>
      <w:r>
        <w:rPr>
          <w:rFonts w:ascii="Times New Roman" w:hAnsi="Times New Roman" w:cs="Times New Roman"/>
          <w:sz w:val="24"/>
          <w:szCs w:val="24"/>
        </w:rPr>
        <w:t>adopted level of base revenues for CEHE is $</w:t>
      </w:r>
      <w:r w:rsidR="00D05315" w:rsidRPr="00D05315">
        <w:rPr>
          <w:rFonts w:ascii="Times New Roman" w:hAnsi="Times New Roman" w:cs="Times New Roman"/>
          <w:sz w:val="24"/>
          <w:szCs w:val="24"/>
        </w:rPr>
        <w:t>2,496,384,753</w:t>
      </w:r>
      <w:r>
        <w:rPr>
          <w:rFonts w:ascii="Times New Roman" w:hAnsi="Times New Roman" w:cs="Times New Roman"/>
          <w:sz w:val="24"/>
          <w:szCs w:val="24"/>
        </w:rPr>
        <w:t xml:space="preserve">, which represents a revenue increase of </w:t>
      </w:r>
      <w:r w:rsidR="00EF6D41">
        <w:rPr>
          <w:rFonts w:ascii="Times New Roman" w:hAnsi="Times New Roman" w:cs="Times New Roman"/>
          <w:sz w:val="24"/>
          <w:szCs w:val="24"/>
        </w:rPr>
        <w:t>$</w:t>
      </w:r>
      <w:r w:rsidR="00EF6D41" w:rsidRPr="00EF6D41">
        <w:rPr>
          <w:rFonts w:ascii="Times New Roman" w:hAnsi="Times New Roman" w:cs="Times New Roman"/>
          <w:sz w:val="24"/>
          <w:szCs w:val="24"/>
        </w:rPr>
        <w:t>1,086,431</w:t>
      </w:r>
      <w:r>
        <w:rPr>
          <w:rFonts w:ascii="Times New Roman" w:hAnsi="Times New Roman" w:cs="Times New Roman"/>
          <w:sz w:val="24"/>
          <w:szCs w:val="24"/>
        </w:rPr>
        <w:t>, or 0.</w:t>
      </w:r>
      <w:r w:rsidR="00EF6D41">
        <w:rPr>
          <w:rFonts w:ascii="Times New Roman" w:hAnsi="Times New Roman" w:cs="Times New Roman"/>
          <w:sz w:val="24"/>
          <w:szCs w:val="24"/>
        </w:rPr>
        <w:t>04</w:t>
      </w:r>
      <w:r>
        <w:rPr>
          <w:rFonts w:ascii="Times New Roman" w:hAnsi="Times New Roman" w:cs="Times New Roman"/>
          <w:sz w:val="24"/>
          <w:szCs w:val="24"/>
        </w:rPr>
        <w:t xml:space="preserve">% </w:t>
      </w:r>
      <w:r w:rsidR="00EF6D41">
        <w:rPr>
          <w:rFonts w:ascii="Times New Roman" w:hAnsi="Times New Roman" w:cs="Times New Roman"/>
          <w:sz w:val="24"/>
          <w:szCs w:val="24"/>
        </w:rPr>
        <w:t>stated as</w:t>
      </w:r>
      <w:r>
        <w:rPr>
          <w:rFonts w:ascii="Times New Roman" w:hAnsi="Times New Roman" w:cs="Times New Roman"/>
          <w:sz w:val="24"/>
          <w:szCs w:val="24"/>
        </w:rPr>
        <w:t xml:space="preserve"> a percentage, over CEHE’s </w:t>
      </w:r>
      <w:r w:rsidR="00EF6D41">
        <w:rPr>
          <w:rFonts w:ascii="Times New Roman" w:hAnsi="Times New Roman" w:cs="Times New Roman"/>
          <w:sz w:val="24"/>
          <w:szCs w:val="24"/>
        </w:rPr>
        <w:t>Commission</w:t>
      </w:r>
      <w:r>
        <w:rPr>
          <w:rFonts w:ascii="Times New Roman" w:hAnsi="Times New Roman" w:cs="Times New Roman"/>
          <w:sz w:val="24"/>
          <w:szCs w:val="24"/>
        </w:rPr>
        <w:t>-adopted present base revenues of $</w:t>
      </w:r>
      <w:r w:rsidR="00EF6D41" w:rsidRPr="00EF6D41">
        <w:rPr>
          <w:rFonts w:ascii="Times New Roman" w:hAnsi="Times New Roman" w:cs="Times New Roman"/>
          <w:sz w:val="24"/>
          <w:szCs w:val="24"/>
        </w:rPr>
        <w:t>2,496,384,753</w:t>
      </w:r>
      <w:r>
        <w:rPr>
          <w:rFonts w:ascii="Times New Roman" w:hAnsi="Times New Roman" w:cs="Times New Roman"/>
          <w:sz w:val="24"/>
          <w:szCs w:val="24"/>
        </w:rPr>
        <w:t>, broken out between wholesale and retail as follows:</w:t>
      </w:r>
    </w:p>
    <w:p w:rsidR="00407BC9" w:rsidRDefault="00407BC9" w:rsidP="00CC7C3E">
      <w:pPr>
        <w:spacing w:after="0" w:line="240" w:lineRule="auto"/>
        <w:jc w:val="both"/>
        <w:rPr>
          <w:rFonts w:ascii="Times New Roman" w:hAnsi="Times New Roman" w:cs="Times New Roman"/>
          <w:sz w:val="24"/>
          <w:szCs w:val="24"/>
        </w:rPr>
      </w:pPr>
    </w:p>
    <w:p w:rsidR="005F253E" w:rsidRDefault="00DC12C5" w:rsidP="00CC7C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Commission</w:t>
      </w:r>
      <w:r w:rsidR="00407BC9">
        <w:rPr>
          <w:rFonts w:ascii="Times New Roman" w:hAnsi="Times New Roman" w:cs="Times New Roman"/>
          <w:sz w:val="24"/>
          <w:szCs w:val="24"/>
        </w:rPr>
        <w:t>-adopted wholesale transmission base revenue requirement</w:t>
      </w:r>
      <w:r w:rsidR="00407BC9">
        <w:rPr>
          <w:rFonts w:ascii="Times New Roman" w:hAnsi="Times New Roman" w:cs="Times New Roman"/>
          <w:sz w:val="24"/>
          <w:szCs w:val="24"/>
        </w:rPr>
        <w:tab/>
        <w:t>$</w:t>
      </w:r>
      <w:r w:rsidR="00396FE2" w:rsidRPr="00396FE2">
        <w:rPr>
          <w:rFonts w:ascii="Times New Roman" w:hAnsi="Times New Roman" w:cs="Times New Roman"/>
          <w:sz w:val="24"/>
          <w:szCs w:val="24"/>
        </w:rPr>
        <w:t>343,928,560</w:t>
      </w:r>
    </w:p>
    <w:p w:rsidR="00407BC9" w:rsidRDefault="00DC12C5" w:rsidP="00CC7C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Commission</w:t>
      </w:r>
      <w:r w:rsidR="00407BC9">
        <w:rPr>
          <w:rFonts w:ascii="Times New Roman" w:hAnsi="Times New Roman" w:cs="Times New Roman"/>
          <w:sz w:val="24"/>
          <w:szCs w:val="24"/>
        </w:rPr>
        <w:t>-adopted retail delivery base revenue requirement</w:t>
      </w:r>
      <w:r w:rsidR="00407BC9">
        <w:rPr>
          <w:rFonts w:ascii="Times New Roman" w:hAnsi="Times New Roman" w:cs="Times New Roman"/>
          <w:sz w:val="24"/>
          <w:szCs w:val="24"/>
        </w:rPr>
        <w:tab/>
      </w:r>
      <w:r w:rsidR="00407BC9">
        <w:rPr>
          <w:rFonts w:ascii="Times New Roman" w:hAnsi="Times New Roman" w:cs="Times New Roman"/>
          <w:sz w:val="24"/>
          <w:szCs w:val="24"/>
        </w:rPr>
        <w:tab/>
        <w:t>$</w:t>
      </w:r>
      <w:r w:rsidR="00396FE2" w:rsidRPr="00396FE2">
        <w:rPr>
          <w:rFonts w:ascii="Times New Roman" w:hAnsi="Times New Roman" w:cs="Times New Roman"/>
          <w:sz w:val="24"/>
          <w:szCs w:val="24"/>
        </w:rPr>
        <w:t>2,153,542,624</w:t>
      </w:r>
      <w:r w:rsidR="00407BC9">
        <w:rPr>
          <w:rFonts w:ascii="Times New Roman" w:hAnsi="Times New Roman" w:cs="Times New Roman"/>
          <w:sz w:val="24"/>
          <w:szCs w:val="24"/>
        </w:rPr>
        <w:tab/>
      </w:r>
    </w:p>
    <w:p w:rsidR="005F253E" w:rsidRDefault="005F253E" w:rsidP="00CC7C3E">
      <w:pPr>
        <w:spacing w:after="0" w:line="240" w:lineRule="auto"/>
        <w:jc w:val="both"/>
        <w:rPr>
          <w:rFonts w:ascii="Times New Roman" w:hAnsi="Times New Roman" w:cs="Times New Roman"/>
          <w:sz w:val="24"/>
          <w:szCs w:val="24"/>
        </w:rPr>
      </w:pPr>
    </w:p>
    <w:p w:rsidR="009C1F2B" w:rsidRDefault="0067032E" w:rsidP="00CC7C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following n</w:t>
      </w:r>
      <w:r w:rsidR="000302EA">
        <w:rPr>
          <w:rFonts w:ascii="Times New Roman" w:hAnsi="Times New Roman" w:cs="Times New Roman"/>
          <w:sz w:val="24"/>
          <w:szCs w:val="24"/>
        </w:rPr>
        <w:t xml:space="preserve">otes to the </w:t>
      </w:r>
      <w:r w:rsidR="00D94471">
        <w:rPr>
          <w:rFonts w:ascii="Times New Roman" w:hAnsi="Times New Roman" w:cs="Times New Roman"/>
          <w:sz w:val="24"/>
          <w:szCs w:val="24"/>
        </w:rPr>
        <w:t>Commission’s</w:t>
      </w:r>
      <w:r w:rsidR="000302EA">
        <w:rPr>
          <w:rFonts w:ascii="Times New Roman" w:hAnsi="Times New Roman" w:cs="Times New Roman"/>
          <w:sz w:val="24"/>
          <w:szCs w:val="24"/>
        </w:rPr>
        <w:t xml:space="preserve"> </w:t>
      </w:r>
      <w:r>
        <w:rPr>
          <w:rFonts w:ascii="Times New Roman" w:hAnsi="Times New Roman" w:cs="Times New Roman"/>
          <w:sz w:val="24"/>
          <w:szCs w:val="24"/>
        </w:rPr>
        <w:t xml:space="preserve">number-run </w:t>
      </w:r>
      <w:r w:rsidR="000302EA">
        <w:rPr>
          <w:rFonts w:ascii="Times New Roman" w:hAnsi="Times New Roman" w:cs="Times New Roman"/>
          <w:sz w:val="24"/>
          <w:szCs w:val="24"/>
        </w:rPr>
        <w:t xml:space="preserve">address </w:t>
      </w:r>
      <w:r w:rsidR="00FE707E">
        <w:rPr>
          <w:rFonts w:ascii="Times New Roman" w:hAnsi="Times New Roman" w:cs="Times New Roman"/>
          <w:sz w:val="24"/>
          <w:szCs w:val="24"/>
        </w:rPr>
        <w:t xml:space="preserve">the </w:t>
      </w:r>
      <w:r w:rsidR="000302EA">
        <w:rPr>
          <w:rFonts w:ascii="Times New Roman" w:hAnsi="Times New Roman" w:cs="Times New Roman"/>
          <w:sz w:val="24"/>
          <w:szCs w:val="24"/>
        </w:rPr>
        <w:t>functional</w:t>
      </w:r>
      <w:r w:rsidR="002422F3">
        <w:rPr>
          <w:rFonts w:ascii="Times New Roman" w:hAnsi="Times New Roman" w:cs="Times New Roman"/>
          <w:sz w:val="24"/>
          <w:szCs w:val="24"/>
        </w:rPr>
        <w:t>ization</w:t>
      </w:r>
      <w:r w:rsidR="000302EA">
        <w:rPr>
          <w:rFonts w:ascii="Times New Roman" w:hAnsi="Times New Roman" w:cs="Times New Roman"/>
          <w:sz w:val="24"/>
          <w:szCs w:val="24"/>
        </w:rPr>
        <w:t xml:space="preserve">, class cost allocation, </w:t>
      </w:r>
      <w:r w:rsidR="009C1F2B">
        <w:rPr>
          <w:rFonts w:ascii="Times New Roman" w:hAnsi="Times New Roman" w:cs="Times New Roman"/>
          <w:sz w:val="24"/>
          <w:szCs w:val="24"/>
        </w:rPr>
        <w:t>revenue distribution</w:t>
      </w:r>
      <w:r w:rsidR="000302EA">
        <w:rPr>
          <w:rFonts w:ascii="Times New Roman" w:hAnsi="Times New Roman" w:cs="Times New Roman"/>
          <w:sz w:val="24"/>
          <w:szCs w:val="24"/>
        </w:rPr>
        <w:t>, and rate design</w:t>
      </w:r>
      <w:r w:rsidR="00FE707E">
        <w:rPr>
          <w:rFonts w:ascii="Times New Roman" w:hAnsi="Times New Roman" w:cs="Times New Roman"/>
          <w:sz w:val="24"/>
          <w:szCs w:val="24"/>
        </w:rPr>
        <w:t xml:space="preserve"> treatments in the </w:t>
      </w:r>
      <w:r w:rsidR="00D94471">
        <w:rPr>
          <w:rFonts w:ascii="Times New Roman" w:hAnsi="Times New Roman" w:cs="Times New Roman"/>
          <w:sz w:val="24"/>
          <w:szCs w:val="24"/>
        </w:rPr>
        <w:t>number run’s</w:t>
      </w:r>
      <w:r w:rsidR="00FE707E">
        <w:rPr>
          <w:rFonts w:ascii="Times New Roman" w:hAnsi="Times New Roman" w:cs="Times New Roman"/>
          <w:sz w:val="24"/>
          <w:szCs w:val="24"/>
        </w:rPr>
        <w:t xml:space="preserve"> </w:t>
      </w:r>
      <w:r w:rsidR="00D94471">
        <w:rPr>
          <w:rFonts w:ascii="Times New Roman" w:hAnsi="Times New Roman" w:cs="Times New Roman"/>
          <w:sz w:val="24"/>
          <w:szCs w:val="24"/>
        </w:rPr>
        <w:t xml:space="preserve">electronic </w:t>
      </w:r>
      <w:r w:rsidR="00FE707E">
        <w:rPr>
          <w:rFonts w:ascii="Times New Roman" w:hAnsi="Times New Roman" w:cs="Times New Roman"/>
          <w:sz w:val="24"/>
          <w:szCs w:val="24"/>
        </w:rPr>
        <w:t>model</w:t>
      </w:r>
      <w:r w:rsidR="00D94471">
        <w:rPr>
          <w:rFonts w:ascii="Times New Roman" w:hAnsi="Times New Roman" w:cs="Times New Roman"/>
          <w:sz w:val="24"/>
          <w:szCs w:val="24"/>
        </w:rPr>
        <w:t xml:space="preserve"> of CEHE’s class cost of service</w:t>
      </w:r>
      <w:r>
        <w:rPr>
          <w:rFonts w:ascii="Times New Roman" w:hAnsi="Times New Roman" w:cs="Times New Roman"/>
          <w:sz w:val="24"/>
          <w:szCs w:val="24"/>
        </w:rPr>
        <w:t xml:space="preserve">; and, the </w:t>
      </w:r>
      <w:r w:rsidR="00062CB0">
        <w:rPr>
          <w:rFonts w:ascii="Times New Roman" w:hAnsi="Times New Roman" w:cs="Times New Roman"/>
          <w:sz w:val="24"/>
          <w:szCs w:val="24"/>
        </w:rPr>
        <w:t xml:space="preserve">number-run </w:t>
      </w:r>
      <w:r>
        <w:rPr>
          <w:rFonts w:ascii="Times New Roman" w:hAnsi="Times New Roman" w:cs="Times New Roman"/>
          <w:sz w:val="24"/>
          <w:szCs w:val="24"/>
        </w:rPr>
        <w:t xml:space="preserve">attachments associated with those </w:t>
      </w:r>
      <w:r w:rsidR="00150007">
        <w:rPr>
          <w:rFonts w:ascii="Times New Roman" w:hAnsi="Times New Roman" w:cs="Times New Roman"/>
          <w:sz w:val="24"/>
          <w:szCs w:val="24"/>
        </w:rPr>
        <w:t xml:space="preserve">steps in the ratemaking process </w:t>
      </w:r>
      <w:r>
        <w:rPr>
          <w:rFonts w:ascii="Times New Roman" w:hAnsi="Times New Roman" w:cs="Times New Roman"/>
          <w:sz w:val="24"/>
          <w:szCs w:val="24"/>
        </w:rPr>
        <w:t>are named as follows:</w:t>
      </w:r>
    </w:p>
    <w:p w:rsidR="0067032E" w:rsidRDefault="0067032E" w:rsidP="00CC7C3E">
      <w:pPr>
        <w:spacing w:after="0" w:line="240" w:lineRule="auto"/>
        <w:jc w:val="both"/>
        <w:rPr>
          <w:rFonts w:ascii="Times New Roman" w:hAnsi="Times New Roman" w:cs="Times New Roman"/>
          <w:sz w:val="24"/>
          <w:szCs w:val="24"/>
        </w:rPr>
      </w:pPr>
    </w:p>
    <w:p w:rsidR="0067032E" w:rsidRDefault="00062CB0" w:rsidP="00CC7C3E">
      <w:pPr>
        <w:spacing w:after="0" w:line="240" w:lineRule="auto"/>
        <w:jc w:val="both"/>
        <w:rPr>
          <w:rFonts w:ascii="Times New Roman" w:hAnsi="Times New Roman" w:cs="Times New Roman"/>
          <w:sz w:val="24"/>
          <w:szCs w:val="24"/>
        </w:rPr>
      </w:pPr>
      <w:r w:rsidRPr="00062CB0">
        <w:rPr>
          <w:rFonts w:ascii="Times New Roman" w:hAnsi="Times New Roman" w:cs="Times New Roman"/>
          <w:sz w:val="24"/>
          <w:szCs w:val="24"/>
        </w:rPr>
        <w:t>Attachment</w:t>
      </w:r>
      <w:r>
        <w:rPr>
          <w:rFonts w:ascii="Times New Roman" w:hAnsi="Times New Roman" w:cs="Times New Roman"/>
          <w:sz w:val="24"/>
          <w:szCs w:val="24"/>
        </w:rPr>
        <w:t xml:space="preserve"> B1</w:t>
      </w:r>
      <w:r>
        <w:rPr>
          <w:rFonts w:ascii="Times New Roman" w:hAnsi="Times New Roman" w:cs="Times New Roman"/>
          <w:sz w:val="24"/>
          <w:szCs w:val="24"/>
        </w:rPr>
        <w:tab/>
        <w:t xml:space="preserve">Functionalization Summary </w:t>
      </w:r>
    </w:p>
    <w:p w:rsidR="00062CB0" w:rsidRDefault="00062CB0" w:rsidP="00062CB0">
      <w:pPr>
        <w:spacing w:after="0" w:line="240" w:lineRule="auto"/>
        <w:ind w:left="2160" w:hanging="2160"/>
        <w:jc w:val="both"/>
        <w:rPr>
          <w:rFonts w:ascii="Times New Roman" w:hAnsi="Times New Roman" w:cs="Times New Roman"/>
          <w:sz w:val="24"/>
          <w:szCs w:val="24"/>
        </w:rPr>
      </w:pPr>
      <w:r>
        <w:rPr>
          <w:rFonts w:ascii="Times New Roman" w:hAnsi="Times New Roman" w:cs="Times New Roman"/>
          <w:sz w:val="24"/>
          <w:szCs w:val="24"/>
        </w:rPr>
        <w:t>Attachment B2</w:t>
      </w:r>
      <w:r>
        <w:rPr>
          <w:rFonts w:ascii="Times New Roman" w:hAnsi="Times New Roman" w:cs="Times New Roman"/>
          <w:sz w:val="24"/>
          <w:szCs w:val="24"/>
        </w:rPr>
        <w:tab/>
        <w:t>Wholesale Transmission Cost of Service, Wholesale Transmission Base Revenue Requirement, Wholesale Transmission Rate Design, Interim TCOS Baseline Values</w:t>
      </w:r>
    </w:p>
    <w:p w:rsidR="00062CB0" w:rsidRDefault="00062CB0" w:rsidP="00062CB0">
      <w:pPr>
        <w:spacing w:after="0" w:line="240" w:lineRule="auto"/>
        <w:ind w:left="2160" w:hanging="2160"/>
        <w:jc w:val="both"/>
        <w:rPr>
          <w:rFonts w:ascii="Times New Roman" w:hAnsi="Times New Roman" w:cs="Times New Roman"/>
          <w:sz w:val="24"/>
          <w:szCs w:val="24"/>
        </w:rPr>
      </w:pPr>
      <w:r>
        <w:rPr>
          <w:rFonts w:ascii="Times New Roman" w:hAnsi="Times New Roman" w:cs="Times New Roman"/>
          <w:sz w:val="24"/>
          <w:szCs w:val="24"/>
        </w:rPr>
        <w:t>Attachment B3</w:t>
      </w:r>
      <w:r>
        <w:rPr>
          <w:rFonts w:ascii="Times New Roman" w:hAnsi="Times New Roman" w:cs="Times New Roman"/>
          <w:sz w:val="24"/>
          <w:szCs w:val="24"/>
        </w:rPr>
        <w:tab/>
        <w:t>Retail Delivery Class Cost of Service Summary</w:t>
      </w:r>
    </w:p>
    <w:p w:rsidR="00062CB0" w:rsidRDefault="00E30194" w:rsidP="00062CB0">
      <w:pPr>
        <w:spacing w:after="0" w:line="240" w:lineRule="auto"/>
        <w:ind w:left="2160" w:hanging="2160"/>
        <w:jc w:val="both"/>
        <w:rPr>
          <w:rFonts w:ascii="Times New Roman" w:hAnsi="Times New Roman" w:cs="Times New Roman"/>
          <w:sz w:val="24"/>
          <w:szCs w:val="24"/>
        </w:rPr>
      </w:pPr>
      <w:r>
        <w:rPr>
          <w:rFonts w:ascii="Times New Roman" w:hAnsi="Times New Roman" w:cs="Times New Roman"/>
          <w:sz w:val="24"/>
          <w:szCs w:val="24"/>
        </w:rPr>
        <w:t>Attachment C1</w:t>
      </w:r>
      <w:r>
        <w:rPr>
          <w:rFonts w:ascii="Times New Roman" w:hAnsi="Times New Roman" w:cs="Times New Roman"/>
          <w:sz w:val="24"/>
          <w:szCs w:val="24"/>
        </w:rPr>
        <w:tab/>
        <w:t>Base Revenue Requirements Summary</w:t>
      </w:r>
    </w:p>
    <w:p w:rsidR="00E30194" w:rsidRDefault="00E30194" w:rsidP="00062CB0">
      <w:pPr>
        <w:spacing w:after="0" w:line="240" w:lineRule="auto"/>
        <w:ind w:left="2160" w:hanging="2160"/>
        <w:jc w:val="both"/>
        <w:rPr>
          <w:rFonts w:ascii="Times New Roman" w:hAnsi="Times New Roman" w:cs="Times New Roman"/>
          <w:sz w:val="24"/>
          <w:szCs w:val="24"/>
        </w:rPr>
      </w:pPr>
      <w:r>
        <w:rPr>
          <w:rFonts w:ascii="Times New Roman" w:hAnsi="Times New Roman" w:cs="Times New Roman"/>
          <w:sz w:val="24"/>
          <w:szCs w:val="24"/>
        </w:rPr>
        <w:t>Attachment C2</w:t>
      </w:r>
      <w:r>
        <w:rPr>
          <w:rFonts w:ascii="Times New Roman" w:hAnsi="Times New Roman" w:cs="Times New Roman"/>
          <w:sz w:val="24"/>
          <w:szCs w:val="24"/>
        </w:rPr>
        <w:tab/>
        <w:t>Retail Delivery Class Revenue Distribution</w:t>
      </w:r>
    </w:p>
    <w:p w:rsidR="00E30194" w:rsidRDefault="00E30194" w:rsidP="00062CB0">
      <w:pPr>
        <w:spacing w:after="0" w:line="240" w:lineRule="auto"/>
        <w:ind w:left="2160" w:hanging="2160"/>
        <w:jc w:val="both"/>
        <w:rPr>
          <w:rFonts w:ascii="Times New Roman" w:hAnsi="Times New Roman" w:cs="Times New Roman"/>
          <w:sz w:val="24"/>
          <w:szCs w:val="24"/>
        </w:rPr>
      </w:pPr>
      <w:r>
        <w:rPr>
          <w:rFonts w:ascii="Times New Roman" w:hAnsi="Times New Roman" w:cs="Times New Roman"/>
          <w:sz w:val="24"/>
          <w:szCs w:val="24"/>
        </w:rPr>
        <w:t>Attachment C3</w:t>
      </w:r>
      <w:r>
        <w:rPr>
          <w:rFonts w:ascii="Times New Roman" w:hAnsi="Times New Roman" w:cs="Times New Roman"/>
          <w:sz w:val="24"/>
          <w:szCs w:val="24"/>
        </w:rPr>
        <w:tab/>
        <w:t>Class ERCOT Transmission Payment Revenue Requirements</w:t>
      </w:r>
    </w:p>
    <w:p w:rsidR="00E30194" w:rsidRDefault="00E30194" w:rsidP="00062CB0">
      <w:pPr>
        <w:spacing w:after="0" w:line="240" w:lineRule="auto"/>
        <w:ind w:left="2160" w:hanging="2160"/>
        <w:jc w:val="both"/>
        <w:rPr>
          <w:rFonts w:ascii="Times New Roman" w:hAnsi="Times New Roman" w:cs="Times New Roman"/>
          <w:sz w:val="24"/>
          <w:szCs w:val="24"/>
        </w:rPr>
      </w:pPr>
      <w:r>
        <w:rPr>
          <w:rFonts w:ascii="Times New Roman" w:hAnsi="Times New Roman" w:cs="Times New Roman"/>
          <w:sz w:val="24"/>
          <w:szCs w:val="24"/>
        </w:rPr>
        <w:t>Attachment D</w:t>
      </w:r>
      <w:r>
        <w:rPr>
          <w:rFonts w:ascii="Times New Roman" w:hAnsi="Times New Roman" w:cs="Times New Roman"/>
          <w:sz w:val="24"/>
          <w:szCs w:val="24"/>
        </w:rPr>
        <w:tab/>
        <w:t>Retail Delivery Class Rate Design Summary</w:t>
      </w:r>
    </w:p>
    <w:p w:rsidR="00CC7C3E" w:rsidRDefault="00CC7C3E" w:rsidP="00CC7C3E">
      <w:pPr>
        <w:spacing w:after="0" w:line="240" w:lineRule="auto"/>
        <w:jc w:val="both"/>
        <w:rPr>
          <w:rFonts w:ascii="Times New Roman" w:hAnsi="Times New Roman" w:cs="Times New Roman"/>
          <w:sz w:val="24"/>
          <w:szCs w:val="24"/>
        </w:rPr>
      </w:pPr>
    </w:p>
    <w:p w:rsidR="00DD7BB7" w:rsidRDefault="00D94471" w:rsidP="00CC7C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On September 17, 2019, Staff filed its Number Running Communications associated with the PFD’s number run.  The functionalization, class cost allocation, revenue distribution, and rate design related notes</w:t>
      </w:r>
      <w:r w:rsidR="00DD7BB7">
        <w:rPr>
          <w:rFonts w:ascii="Times New Roman" w:hAnsi="Times New Roman" w:cs="Times New Roman"/>
          <w:sz w:val="24"/>
          <w:szCs w:val="24"/>
        </w:rPr>
        <w:t xml:space="preserve"> from the PFD number run also apply to the Commission’s number run.</w:t>
      </w:r>
    </w:p>
    <w:p w:rsidR="00477330" w:rsidRDefault="00477330" w:rsidP="00CC7C3E">
      <w:pPr>
        <w:spacing w:after="0" w:line="240" w:lineRule="auto"/>
        <w:jc w:val="both"/>
        <w:rPr>
          <w:rFonts w:ascii="Times New Roman" w:hAnsi="Times New Roman" w:cs="Times New Roman"/>
          <w:sz w:val="24"/>
          <w:szCs w:val="24"/>
        </w:rPr>
      </w:pPr>
    </w:p>
    <w:p w:rsidR="00477330" w:rsidRDefault="00477330" w:rsidP="00CC7C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On </w:t>
      </w:r>
      <w:r w:rsidR="00C64773">
        <w:rPr>
          <w:rFonts w:ascii="Times New Roman" w:hAnsi="Times New Roman" w:cs="Times New Roman"/>
          <w:sz w:val="24"/>
          <w:szCs w:val="24"/>
        </w:rPr>
        <w:t xml:space="preserve">November 22, 2019, </w:t>
      </w:r>
      <w:r w:rsidR="0082734D">
        <w:rPr>
          <w:rFonts w:ascii="Times New Roman" w:hAnsi="Times New Roman" w:cs="Times New Roman"/>
          <w:sz w:val="24"/>
          <w:szCs w:val="24"/>
        </w:rPr>
        <w:t>the Commission Advising Division filed a request for number runs based on the discussion during the November 14</w:t>
      </w:r>
      <w:r w:rsidR="0082734D" w:rsidRPr="0082734D">
        <w:rPr>
          <w:rFonts w:ascii="Times New Roman" w:hAnsi="Times New Roman" w:cs="Times New Roman"/>
          <w:sz w:val="24"/>
          <w:szCs w:val="24"/>
          <w:vertAlign w:val="superscript"/>
        </w:rPr>
        <w:t>th</w:t>
      </w:r>
      <w:r w:rsidR="0082734D">
        <w:rPr>
          <w:rFonts w:ascii="Times New Roman" w:hAnsi="Times New Roman" w:cs="Times New Roman"/>
          <w:sz w:val="24"/>
          <w:szCs w:val="24"/>
        </w:rPr>
        <w:t xml:space="preserve"> Open Meeting.  On </w:t>
      </w:r>
      <w:r w:rsidR="00627B53">
        <w:rPr>
          <w:rFonts w:ascii="Times New Roman" w:hAnsi="Times New Roman" w:cs="Times New Roman"/>
          <w:sz w:val="24"/>
          <w:szCs w:val="24"/>
        </w:rPr>
        <w:t xml:space="preserve">November 26, 2019, Commission Advising amended its request to incorporate cost allocation and rate design directives.  </w:t>
      </w:r>
      <w:r w:rsidR="00D42055">
        <w:rPr>
          <w:rFonts w:ascii="Times New Roman" w:hAnsi="Times New Roman" w:cs="Times New Roman"/>
          <w:sz w:val="24"/>
          <w:szCs w:val="24"/>
        </w:rPr>
        <w:t xml:space="preserve">The attachments listed above reflect the implementation of the requests in both memoranda.  </w:t>
      </w:r>
    </w:p>
    <w:p w:rsidR="00D42055" w:rsidRDefault="00D42055" w:rsidP="00CC7C3E">
      <w:pPr>
        <w:spacing w:after="0" w:line="240" w:lineRule="auto"/>
        <w:jc w:val="both"/>
        <w:rPr>
          <w:rFonts w:ascii="Times New Roman" w:hAnsi="Times New Roman" w:cs="Times New Roman"/>
          <w:sz w:val="24"/>
          <w:szCs w:val="24"/>
        </w:rPr>
      </w:pPr>
    </w:p>
    <w:p w:rsidR="00D42055" w:rsidRDefault="00AA2235" w:rsidP="00CC7C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Additionally, please note:</w:t>
      </w:r>
    </w:p>
    <w:p w:rsidR="00AA2235" w:rsidRDefault="00AA2235" w:rsidP="00E17318">
      <w:pPr>
        <w:spacing w:after="0" w:line="240" w:lineRule="auto"/>
        <w:jc w:val="both"/>
        <w:rPr>
          <w:rFonts w:ascii="Times New Roman" w:hAnsi="Times New Roman" w:cs="Times New Roman"/>
          <w:sz w:val="24"/>
          <w:szCs w:val="24"/>
        </w:rPr>
      </w:pPr>
    </w:p>
    <w:p w:rsidR="00E17318" w:rsidRDefault="00E17318" w:rsidP="00E17318">
      <w:pPr>
        <w:spacing w:after="0" w:line="240" w:lineRule="auto"/>
        <w:jc w:val="both"/>
        <w:rPr>
          <w:rFonts w:ascii="Times New Roman" w:hAnsi="Times New Roman" w:cs="Times New Roman"/>
          <w:b/>
          <w:sz w:val="24"/>
          <w:szCs w:val="24"/>
          <w:u w:val="single"/>
        </w:rPr>
      </w:pPr>
      <w:r w:rsidRPr="00E17318">
        <w:rPr>
          <w:rFonts w:ascii="Times New Roman" w:hAnsi="Times New Roman" w:cs="Times New Roman"/>
          <w:b/>
          <w:sz w:val="24"/>
          <w:szCs w:val="24"/>
          <w:u w:val="single"/>
        </w:rPr>
        <w:t>Functionalization</w:t>
      </w:r>
    </w:p>
    <w:p w:rsidR="00E17318" w:rsidRDefault="00E17318" w:rsidP="00E17318">
      <w:pPr>
        <w:spacing w:after="0" w:line="240" w:lineRule="auto"/>
        <w:jc w:val="both"/>
        <w:rPr>
          <w:rFonts w:ascii="Times New Roman" w:hAnsi="Times New Roman" w:cs="Times New Roman"/>
          <w:sz w:val="24"/>
          <w:szCs w:val="24"/>
        </w:rPr>
      </w:pPr>
    </w:p>
    <w:p w:rsidR="00E17318" w:rsidRDefault="00D45FAD" w:rsidP="00E17318">
      <w:pPr>
        <w:spacing w:after="0" w:line="240" w:lineRule="auto"/>
        <w:jc w:val="both"/>
        <w:rPr>
          <w:rFonts w:ascii="Times New Roman" w:hAnsi="Times New Roman" w:cs="Times New Roman"/>
          <w:sz w:val="24"/>
          <w:szCs w:val="24"/>
        </w:rPr>
      </w:pPr>
      <w:r w:rsidRPr="00D45FAD">
        <w:rPr>
          <w:rFonts w:ascii="Times New Roman" w:hAnsi="Times New Roman" w:cs="Times New Roman"/>
          <w:b/>
          <w:sz w:val="24"/>
          <w:szCs w:val="24"/>
        </w:rPr>
        <w:t>Changes in capitalization policy.</w:t>
      </w:r>
      <w:r>
        <w:rPr>
          <w:rFonts w:ascii="Times New Roman" w:hAnsi="Times New Roman" w:cs="Times New Roman"/>
          <w:sz w:val="24"/>
          <w:szCs w:val="24"/>
        </w:rPr>
        <w:t xml:space="preserve">  </w:t>
      </w:r>
      <w:r w:rsidR="00E17318">
        <w:rPr>
          <w:rFonts w:ascii="Times New Roman" w:hAnsi="Times New Roman" w:cs="Times New Roman"/>
          <w:sz w:val="24"/>
          <w:szCs w:val="24"/>
        </w:rPr>
        <w:t xml:space="preserve">The revenue requirement model used to develop Attachment A to this number-run includes various line items associated with the Commission-adopted change in capitalization policy for CEHE.  To resolve circular references in the number-run’s electronic model of class cost of service (CCOSS), certain plant-related line items </w:t>
      </w:r>
      <w:r w:rsidR="001B2682">
        <w:rPr>
          <w:rFonts w:ascii="Times New Roman" w:hAnsi="Times New Roman" w:cs="Times New Roman"/>
          <w:sz w:val="24"/>
          <w:szCs w:val="24"/>
        </w:rPr>
        <w:t>that were</w:t>
      </w:r>
      <w:r w:rsidR="00E17318">
        <w:rPr>
          <w:rFonts w:ascii="Times New Roman" w:hAnsi="Times New Roman" w:cs="Times New Roman"/>
          <w:sz w:val="24"/>
          <w:szCs w:val="24"/>
        </w:rPr>
        <w:t xml:space="preserve"> </w:t>
      </w:r>
      <w:r w:rsidR="001B2682">
        <w:rPr>
          <w:rFonts w:ascii="Times New Roman" w:hAnsi="Times New Roman" w:cs="Times New Roman"/>
          <w:sz w:val="24"/>
          <w:szCs w:val="24"/>
        </w:rPr>
        <w:t xml:space="preserve">functionalized in proportion to </w:t>
      </w:r>
      <w:r w:rsidR="00E17318">
        <w:rPr>
          <w:rFonts w:ascii="Times New Roman" w:hAnsi="Times New Roman" w:cs="Times New Roman"/>
          <w:sz w:val="24"/>
          <w:szCs w:val="24"/>
        </w:rPr>
        <w:t xml:space="preserve">rate base </w:t>
      </w:r>
      <w:r w:rsidR="001B2682">
        <w:rPr>
          <w:rFonts w:ascii="Times New Roman" w:hAnsi="Times New Roman" w:cs="Times New Roman"/>
          <w:sz w:val="24"/>
          <w:szCs w:val="24"/>
        </w:rPr>
        <w:t xml:space="preserve">for the PFD’s number-run were changed to a </w:t>
      </w:r>
      <w:r w:rsidR="00E17318">
        <w:rPr>
          <w:rFonts w:ascii="Times New Roman" w:hAnsi="Times New Roman" w:cs="Times New Roman"/>
          <w:sz w:val="24"/>
          <w:szCs w:val="24"/>
        </w:rPr>
        <w:t>gross</w:t>
      </w:r>
      <w:r w:rsidR="001B2682">
        <w:rPr>
          <w:rFonts w:ascii="Times New Roman" w:hAnsi="Times New Roman" w:cs="Times New Roman"/>
          <w:sz w:val="24"/>
          <w:szCs w:val="24"/>
        </w:rPr>
        <w:t>-</w:t>
      </w:r>
      <w:r w:rsidR="00E17318">
        <w:rPr>
          <w:rFonts w:ascii="Times New Roman" w:hAnsi="Times New Roman" w:cs="Times New Roman"/>
          <w:sz w:val="24"/>
          <w:szCs w:val="24"/>
        </w:rPr>
        <w:t>plant</w:t>
      </w:r>
      <w:r w:rsidR="001B2682">
        <w:rPr>
          <w:rFonts w:ascii="Times New Roman" w:hAnsi="Times New Roman" w:cs="Times New Roman"/>
          <w:sz w:val="24"/>
          <w:szCs w:val="24"/>
        </w:rPr>
        <w:t xml:space="preserve"> functionalization for the Commission number-run.</w:t>
      </w:r>
    </w:p>
    <w:p w:rsidR="001B2682" w:rsidRDefault="001B2682" w:rsidP="00E17318">
      <w:pPr>
        <w:spacing w:after="0" w:line="240" w:lineRule="auto"/>
        <w:jc w:val="both"/>
        <w:rPr>
          <w:rFonts w:ascii="Times New Roman" w:hAnsi="Times New Roman" w:cs="Times New Roman"/>
          <w:sz w:val="24"/>
          <w:szCs w:val="24"/>
        </w:rPr>
      </w:pPr>
    </w:p>
    <w:p w:rsidR="00F30F29" w:rsidRPr="00F30F29" w:rsidRDefault="00F30F29" w:rsidP="00E17318">
      <w:pPr>
        <w:spacing w:after="0" w:line="240" w:lineRule="auto"/>
        <w:jc w:val="both"/>
        <w:rPr>
          <w:rFonts w:ascii="Times New Roman" w:hAnsi="Times New Roman" w:cs="Times New Roman"/>
          <w:b/>
          <w:sz w:val="24"/>
          <w:szCs w:val="24"/>
          <w:u w:val="single"/>
        </w:rPr>
      </w:pPr>
      <w:r w:rsidRPr="00F30F29">
        <w:rPr>
          <w:rFonts w:ascii="Times New Roman" w:hAnsi="Times New Roman" w:cs="Times New Roman"/>
          <w:b/>
          <w:sz w:val="24"/>
          <w:szCs w:val="24"/>
          <w:u w:val="single"/>
        </w:rPr>
        <w:t>Class Cost Allocation</w:t>
      </w:r>
    </w:p>
    <w:p w:rsidR="00F30F29" w:rsidRDefault="00F30F29" w:rsidP="00E17318">
      <w:pPr>
        <w:spacing w:after="0" w:line="240" w:lineRule="auto"/>
        <w:jc w:val="both"/>
        <w:rPr>
          <w:rFonts w:ascii="Times New Roman" w:hAnsi="Times New Roman" w:cs="Times New Roman"/>
          <w:b/>
          <w:sz w:val="24"/>
          <w:szCs w:val="24"/>
        </w:rPr>
      </w:pPr>
    </w:p>
    <w:p w:rsidR="00D45FAD" w:rsidRDefault="00C731A2" w:rsidP="00E17318">
      <w:pPr>
        <w:spacing w:after="0" w:line="240" w:lineRule="auto"/>
        <w:jc w:val="both"/>
        <w:rPr>
          <w:rFonts w:ascii="Times New Roman" w:hAnsi="Times New Roman" w:cs="Times New Roman"/>
          <w:sz w:val="24"/>
          <w:szCs w:val="24"/>
        </w:rPr>
      </w:pPr>
      <w:r w:rsidRPr="00C731A2">
        <w:rPr>
          <w:rFonts w:ascii="Times New Roman" w:hAnsi="Times New Roman" w:cs="Times New Roman"/>
          <w:b/>
          <w:sz w:val="24"/>
          <w:szCs w:val="24"/>
        </w:rPr>
        <w:t>Allocation of distribution costs.</w:t>
      </w:r>
      <w:r>
        <w:rPr>
          <w:rFonts w:ascii="Times New Roman" w:hAnsi="Times New Roman" w:cs="Times New Roman"/>
          <w:b/>
          <w:sz w:val="24"/>
          <w:szCs w:val="24"/>
        </w:rPr>
        <w:t xml:space="preserve">  </w:t>
      </w:r>
      <w:r w:rsidRPr="00C731A2">
        <w:rPr>
          <w:rFonts w:ascii="Times New Roman" w:hAnsi="Times New Roman" w:cs="Times New Roman"/>
          <w:sz w:val="24"/>
          <w:szCs w:val="24"/>
        </w:rPr>
        <w:t>To account for line losses</w:t>
      </w:r>
      <w:r>
        <w:rPr>
          <w:rFonts w:ascii="Times New Roman" w:hAnsi="Times New Roman" w:cs="Times New Roman"/>
          <w:sz w:val="24"/>
          <w:szCs w:val="24"/>
        </w:rPr>
        <w:t xml:space="preserve"> in a manner consistent with CEHE’s uncontested treatment in its CCOSS, class non-coincident peak demands were “grossed-up” from the line level of the distribution system to the substation level using the same factors that were used by CEHE to gross up the class CEHE 4CP demands in the Company’s application and in the PFD’s number run.</w:t>
      </w:r>
    </w:p>
    <w:p w:rsidR="00C731A2" w:rsidRDefault="00C731A2" w:rsidP="00E17318">
      <w:pPr>
        <w:spacing w:after="0" w:line="240" w:lineRule="auto"/>
        <w:jc w:val="both"/>
        <w:rPr>
          <w:rFonts w:ascii="Times New Roman" w:hAnsi="Times New Roman" w:cs="Times New Roman"/>
          <w:sz w:val="24"/>
          <w:szCs w:val="24"/>
        </w:rPr>
      </w:pPr>
    </w:p>
    <w:p w:rsidR="00C731A2" w:rsidRPr="007B0FFD" w:rsidRDefault="007B0FFD" w:rsidP="00E17318">
      <w:pPr>
        <w:spacing w:after="0" w:line="240" w:lineRule="auto"/>
        <w:jc w:val="both"/>
        <w:rPr>
          <w:rFonts w:ascii="Times New Roman" w:hAnsi="Times New Roman" w:cs="Times New Roman"/>
          <w:b/>
          <w:sz w:val="24"/>
          <w:szCs w:val="24"/>
          <w:u w:val="single"/>
        </w:rPr>
      </w:pPr>
      <w:r w:rsidRPr="007B0FFD">
        <w:rPr>
          <w:rFonts w:ascii="Times New Roman" w:hAnsi="Times New Roman" w:cs="Times New Roman"/>
          <w:b/>
          <w:sz w:val="24"/>
          <w:szCs w:val="24"/>
          <w:u w:val="single"/>
        </w:rPr>
        <w:t>Rate Design</w:t>
      </w:r>
    </w:p>
    <w:p w:rsidR="001B2682" w:rsidRDefault="001B2682" w:rsidP="00E17318">
      <w:pPr>
        <w:spacing w:after="0" w:line="240" w:lineRule="auto"/>
        <w:jc w:val="both"/>
        <w:rPr>
          <w:rFonts w:ascii="Times New Roman" w:hAnsi="Times New Roman" w:cs="Times New Roman"/>
          <w:sz w:val="24"/>
          <w:szCs w:val="24"/>
        </w:rPr>
      </w:pPr>
    </w:p>
    <w:p w:rsidR="007B0FFD" w:rsidRPr="00E91076" w:rsidRDefault="00E91076" w:rsidP="00E17318">
      <w:pPr>
        <w:spacing w:after="0" w:line="240" w:lineRule="auto"/>
        <w:jc w:val="both"/>
        <w:rPr>
          <w:rFonts w:ascii="Times New Roman" w:hAnsi="Times New Roman" w:cs="Times New Roman"/>
          <w:b/>
          <w:sz w:val="24"/>
          <w:szCs w:val="24"/>
        </w:rPr>
      </w:pPr>
      <w:r w:rsidRPr="00E91076">
        <w:rPr>
          <w:rFonts w:ascii="Times New Roman" w:hAnsi="Times New Roman" w:cs="Times New Roman"/>
          <w:b/>
          <w:sz w:val="24"/>
          <w:szCs w:val="24"/>
        </w:rPr>
        <w:t>Meter Charges.</w:t>
      </w:r>
      <w:r>
        <w:rPr>
          <w:rFonts w:ascii="Times New Roman" w:hAnsi="Times New Roman" w:cs="Times New Roman"/>
          <w:b/>
          <w:sz w:val="24"/>
          <w:szCs w:val="24"/>
        </w:rPr>
        <w:t xml:space="preserve">  </w:t>
      </w:r>
      <w:r w:rsidR="00391C3C" w:rsidRPr="00391C3C">
        <w:rPr>
          <w:rFonts w:ascii="Times New Roman" w:hAnsi="Times New Roman" w:cs="Times New Roman"/>
          <w:sz w:val="24"/>
          <w:szCs w:val="24"/>
        </w:rPr>
        <w:t>Alliance for Retail Market’s</w:t>
      </w:r>
      <w:r w:rsidR="00391C3C">
        <w:rPr>
          <w:rFonts w:ascii="Times New Roman" w:hAnsi="Times New Roman" w:cs="Times New Roman"/>
          <w:sz w:val="24"/>
          <w:szCs w:val="24"/>
        </w:rPr>
        <w:t xml:space="preserve"> Exhibit 2 identifies CEHE’s rate classes that during the Test Year contained customers that were served through more than one meter at a single </w:t>
      </w:r>
      <w:r w:rsidR="00FC408F">
        <w:rPr>
          <w:rFonts w:ascii="Times New Roman" w:hAnsi="Times New Roman" w:cs="Times New Roman"/>
          <w:sz w:val="24"/>
          <w:szCs w:val="24"/>
        </w:rPr>
        <w:t xml:space="preserve">customer </w:t>
      </w:r>
      <w:r w:rsidR="00391C3C">
        <w:rPr>
          <w:rFonts w:ascii="Times New Roman" w:hAnsi="Times New Roman" w:cs="Times New Roman"/>
          <w:sz w:val="24"/>
          <w:szCs w:val="24"/>
        </w:rPr>
        <w:t>premises</w:t>
      </w:r>
      <w:r w:rsidR="00647F55">
        <w:rPr>
          <w:rFonts w:ascii="Times New Roman" w:hAnsi="Times New Roman" w:cs="Times New Roman"/>
          <w:sz w:val="24"/>
          <w:szCs w:val="24"/>
        </w:rPr>
        <w:t>—which were the Retail Transmission, Primary, Secondary Large, and Secondary Small rate classes.</w:t>
      </w:r>
      <w:r w:rsidR="00FC408F">
        <w:rPr>
          <w:rFonts w:ascii="Times New Roman" w:hAnsi="Times New Roman" w:cs="Times New Roman"/>
          <w:sz w:val="24"/>
          <w:szCs w:val="24"/>
        </w:rPr>
        <w:t xml:space="preserve">  </w:t>
      </w:r>
      <w:r w:rsidR="00D51D2B">
        <w:rPr>
          <w:rFonts w:ascii="Times New Roman" w:hAnsi="Times New Roman" w:cs="Times New Roman"/>
          <w:sz w:val="24"/>
          <w:szCs w:val="24"/>
        </w:rPr>
        <w:t>For each class, the meter counts used to set the metering charges were pulled from CEHE’s e</w:t>
      </w:r>
      <w:r w:rsidR="00FC408F">
        <w:rPr>
          <w:rFonts w:ascii="Times New Roman" w:hAnsi="Times New Roman" w:cs="Times New Roman"/>
          <w:sz w:val="24"/>
          <w:szCs w:val="24"/>
        </w:rPr>
        <w:t xml:space="preserve">rrata workpaper </w:t>
      </w:r>
      <w:r w:rsidR="00D51D2B">
        <w:rPr>
          <w:rFonts w:ascii="Times New Roman" w:hAnsi="Times New Roman" w:cs="Times New Roman"/>
          <w:sz w:val="24"/>
          <w:szCs w:val="24"/>
        </w:rPr>
        <w:t>“WP – Materials and Supplies – Meters.”</w:t>
      </w:r>
      <w:bookmarkStart w:id="0" w:name="_GoBack"/>
      <w:bookmarkEnd w:id="0"/>
    </w:p>
    <w:sectPr w:rsidR="007B0FFD" w:rsidRPr="00E9107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7E1C" w:rsidRDefault="00CA7E1C" w:rsidP="00CA7E1C">
      <w:pPr>
        <w:spacing w:after="0" w:line="240" w:lineRule="auto"/>
      </w:pPr>
      <w:r>
        <w:separator/>
      </w:r>
    </w:p>
  </w:endnote>
  <w:endnote w:type="continuationSeparator" w:id="0">
    <w:p w:rsidR="00CA7E1C" w:rsidRDefault="00CA7E1C" w:rsidP="00CA7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7E1C" w:rsidRDefault="00CA7E1C" w:rsidP="00CA7E1C">
      <w:pPr>
        <w:spacing w:after="0" w:line="240" w:lineRule="auto"/>
      </w:pPr>
      <w:r>
        <w:separator/>
      </w:r>
    </w:p>
  </w:footnote>
  <w:footnote w:type="continuationSeparator" w:id="0">
    <w:p w:rsidR="00CA7E1C" w:rsidRDefault="00CA7E1C" w:rsidP="00CA7E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909C9"/>
    <w:multiLevelType w:val="hybridMultilevel"/>
    <w:tmpl w:val="363E7A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E1C"/>
    <w:rsid w:val="0001038B"/>
    <w:rsid w:val="00022973"/>
    <w:rsid w:val="000302EA"/>
    <w:rsid w:val="00035735"/>
    <w:rsid w:val="00062CB0"/>
    <w:rsid w:val="00066FBB"/>
    <w:rsid w:val="000F48C5"/>
    <w:rsid w:val="0012093B"/>
    <w:rsid w:val="00150007"/>
    <w:rsid w:val="001B1072"/>
    <w:rsid w:val="001B2682"/>
    <w:rsid w:val="00205A20"/>
    <w:rsid w:val="00234538"/>
    <w:rsid w:val="002422F3"/>
    <w:rsid w:val="002938C9"/>
    <w:rsid w:val="002A1381"/>
    <w:rsid w:val="002B788F"/>
    <w:rsid w:val="00327593"/>
    <w:rsid w:val="00391C3C"/>
    <w:rsid w:val="00396FE2"/>
    <w:rsid w:val="003F6868"/>
    <w:rsid w:val="00407BC9"/>
    <w:rsid w:val="00411642"/>
    <w:rsid w:val="00477330"/>
    <w:rsid w:val="004B2782"/>
    <w:rsid w:val="004C0EA0"/>
    <w:rsid w:val="004C5C70"/>
    <w:rsid w:val="004E464E"/>
    <w:rsid w:val="005319AA"/>
    <w:rsid w:val="00563053"/>
    <w:rsid w:val="005808D8"/>
    <w:rsid w:val="005853C6"/>
    <w:rsid w:val="005C5072"/>
    <w:rsid w:val="005F253E"/>
    <w:rsid w:val="00627B53"/>
    <w:rsid w:val="00647F55"/>
    <w:rsid w:val="0065256B"/>
    <w:rsid w:val="0067032E"/>
    <w:rsid w:val="00681896"/>
    <w:rsid w:val="006D3F4D"/>
    <w:rsid w:val="006F3F93"/>
    <w:rsid w:val="007349CC"/>
    <w:rsid w:val="00744368"/>
    <w:rsid w:val="007922BD"/>
    <w:rsid w:val="007B0FFD"/>
    <w:rsid w:val="007B2CF8"/>
    <w:rsid w:val="007C04C6"/>
    <w:rsid w:val="00806449"/>
    <w:rsid w:val="0082734D"/>
    <w:rsid w:val="008664F5"/>
    <w:rsid w:val="008904E5"/>
    <w:rsid w:val="009559BF"/>
    <w:rsid w:val="0096264B"/>
    <w:rsid w:val="009C1F2B"/>
    <w:rsid w:val="009D3A95"/>
    <w:rsid w:val="00A2520D"/>
    <w:rsid w:val="00A521EA"/>
    <w:rsid w:val="00A573FC"/>
    <w:rsid w:val="00A73BBC"/>
    <w:rsid w:val="00AA2235"/>
    <w:rsid w:val="00AB5628"/>
    <w:rsid w:val="00B2343F"/>
    <w:rsid w:val="00B405BE"/>
    <w:rsid w:val="00BC3BEC"/>
    <w:rsid w:val="00C0731E"/>
    <w:rsid w:val="00C32C67"/>
    <w:rsid w:val="00C64773"/>
    <w:rsid w:val="00C731A2"/>
    <w:rsid w:val="00CA7E1C"/>
    <w:rsid w:val="00CC7C3E"/>
    <w:rsid w:val="00D05315"/>
    <w:rsid w:val="00D23D67"/>
    <w:rsid w:val="00D2489B"/>
    <w:rsid w:val="00D27119"/>
    <w:rsid w:val="00D42055"/>
    <w:rsid w:val="00D45FAD"/>
    <w:rsid w:val="00D51D2B"/>
    <w:rsid w:val="00D638D6"/>
    <w:rsid w:val="00D668F2"/>
    <w:rsid w:val="00D94471"/>
    <w:rsid w:val="00DC12C5"/>
    <w:rsid w:val="00DD7BB7"/>
    <w:rsid w:val="00E17318"/>
    <w:rsid w:val="00E30194"/>
    <w:rsid w:val="00E81BEE"/>
    <w:rsid w:val="00E91076"/>
    <w:rsid w:val="00EE16F9"/>
    <w:rsid w:val="00EF6D41"/>
    <w:rsid w:val="00F30F29"/>
    <w:rsid w:val="00F803AE"/>
    <w:rsid w:val="00F93AA0"/>
    <w:rsid w:val="00FC408F"/>
    <w:rsid w:val="00FE7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CD465"/>
  <w15:chartTrackingRefBased/>
  <w15:docId w15:val="{6ECC246D-46F3-40D1-9097-55085A725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A7E1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7E1C"/>
    <w:rPr>
      <w:sz w:val="20"/>
      <w:szCs w:val="20"/>
    </w:rPr>
  </w:style>
  <w:style w:type="character" w:styleId="FootnoteReference">
    <w:name w:val="footnote reference"/>
    <w:basedOn w:val="DefaultParagraphFont"/>
    <w:uiPriority w:val="99"/>
    <w:semiHidden/>
    <w:unhideWhenUsed/>
    <w:rsid w:val="00CA7E1C"/>
    <w:rPr>
      <w:vertAlign w:val="superscript"/>
    </w:rPr>
  </w:style>
  <w:style w:type="paragraph" w:styleId="Title">
    <w:name w:val="Title"/>
    <w:basedOn w:val="Normal"/>
    <w:link w:val="TitleChar"/>
    <w:qFormat/>
    <w:rsid w:val="00EE16F9"/>
    <w:pPr>
      <w:spacing w:after="0" w:line="240" w:lineRule="auto"/>
      <w:jc w:val="center"/>
    </w:pPr>
    <w:rPr>
      <w:rFonts w:ascii="Times New Roman" w:eastAsia="Times New Roman" w:hAnsi="Times New Roman" w:cs="Times New Roman"/>
      <w:b/>
      <w:sz w:val="32"/>
      <w:szCs w:val="20"/>
    </w:rPr>
  </w:style>
  <w:style w:type="character" w:customStyle="1" w:styleId="TitleChar">
    <w:name w:val="Title Char"/>
    <w:basedOn w:val="DefaultParagraphFont"/>
    <w:link w:val="Title"/>
    <w:rsid w:val="00EE16F9"/>
    <w:rPr>
      <w:rFonts w:ascii="Times New Roman" w:eastAsia="Times New Roman" w:hAnsi="Times New Roman" w:cs="Times New Roman"/>
      <w:b/>
      <w:sz w:val="32"/>
      <w:szCs w:val="20"/>
    </w:rPr>
  </w:style>
  <w:style w:type="paragraph" w:styleId="ListParagraph">
    <w:name w:val="List Paragraph"/>
    <w:basedOn w:val="Normal"/>
    <w:uiPriority w:val="34"/>
    <w:qFormat/>
    <w:rsid w:val="00AA22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40EFA-AAD2-4851-9384-437622E77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552</Words>
  <Characters>3151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Murphy</dc:creator>
  <cp:keywords/>
  <dc:description/>
  <cp:lastModifiedBy>Murphy, Brian</cp:lastModifiedBy>
  <cp:revision>23</cp:revision>
  <dcterms:created xsi:type="dcterms:W3CDTF">2019-12-04T19:12:00Z</dcterms:created>
  <dcterms:modified xsi:type="dcterms:W3CDTF">2019-12-04T20:04:00Z</dcterms:modified>
</cp:coreProperties>
</file>